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汕尾职业技术学院疫情防控期间校园测温设备采购项目成交公告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汕尾职业技术学院于2020年5月9 日就疫情防控期间校园测温设备采购项目（采购项目编号：SWZYCG2020-12）采用竞争性磋商进行采购。现就本次采购的中标（成交）结果公告如下：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SWZYCG2020-12</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w:t>
      </w:r>
      <w:r>
        <w:rPr>
          <w:rFonts w:hint="eastAsia" w:ascii="仿宋" w:hAnsi="仿宋" w:eastAsia="仿宋" w:cs="Times New Roman"/>
          <w:sz w:val="28"/>
          <w:szCs w:val="28"/>
        </w:rPr>
        <w:t>疫情防控期间校园测温设备采购</w:t>
      </w:r>
      <w:r>
        <w:rPr>
          <w:rFonts w:hint="eastAsia" w:ascii="仿宋" w:hAnsi="仿宋" w:eastAsia="仿宋"/>
          <w:sz w:val="28"/>
          <w:szCs w:val="28"/>
        </w:rPr>
        <w:t>项目</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三、采购项目预算金额：人民币￥245238.40元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left="981" w:leftChars="255" w:hanging="420" w:hangingChars="150"/>
        <w:jc w:val="both"/>
        <w:rPr>
          <w:rFonts w:ascii="仿宋" w:hAnsi="仿宋" w:eastAsia="仿宋"/>
          <w:sz w:val="28"/>
          <w:szCs w:val="28"/>
          <w:u w:val="single"/>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海丰县福达现代办公设备有限公司   </w:t>
      </w:r>
      <w:r>
        <w:rPr>
          <w:rFonts w:hint="eastAsia" w:ascii="仿宋" w:hAnsi="仿宋" w:eastAsia="仿宋"/>
          <w:sz w:val="28"/>
          <w:szCs w:val="28"/>
        </w:rPr>
        <w:t>法人代表</w:t>
      </w:r>
      <w:r>
        <w:rPr>
          <w:rFonts w:hint="eastAsia" w:ascii="仿宋" w:hAnsi="仿宋" w:eastAsia="仿宋"/>
          <w:sz w:val="28"/>
          <w:szCs w:val="28"/>
          <w:u w:val="single"/>
        </w:rPr>
        <w:t xml:space="preserve">  杨坤烈  </w:t>
      </w:r>
      <w:r>
        <w:rPr>
          <w:rFonts w:hint="eastAsia" w:ascii="仿宋" w:hAnsi="仿宋" w:eastAsia="仿宋"/>
          <w:sz w:val="28"/>
          <w:szCs w:val="28"/>
        </w:rPr>
        <w:t>地址</w:t>
      </w:r>
      <w:r>
        <w:rPr>
          <w:rFonts w:hint="eastAsia" w:ascii="仿宋" w:hAnsi="仿宋" w:eastAsia="仿宋"/>
          <w:sz w:val="28"/>
          <w:szCs w:val="28"/>
          <w:u w:val="single"/>
        </w:rPr>
        <w:t xml:space="preserve">   海丰县附城镇富嘉名城22幢104号   </w:t>
      </w:r>
      <w:r>
        <w:rPr>
          <w:rFonts w:hint="eastAsia" w:ascii="仿宋" w:hAnsi="仿宋" w:eastAsia="仿宋"/>
          <w:sz w:val="28"/>
          <w:szCs w:val="28"/>
        </w:rPr>
        <w:t>(成交金额为</w:t>
      </w:r>
      <w:r>
        <w:rPr>
          <w:rFonts w:hint="eastAsia" w:ascii="仿宋" w:hAnsi="仿宋" w:eastAsia="仿宋"/>
          <w:sz w:val="28"/>
          <w:szCs w:val="28"/>
          <w:u w:val="single"/>
        </w:rPr>
        <w:t xml:space="preserve">  244150.00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6"/>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248"/>
        <w:gridCol w:w="1249"/>
        <w:gridCol w:w="1377"/>
        <w:gridCol w:w="1700"/>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spacing w:line="220" w:lineRule="atLeast"/>
              <w:jc w:val="center"/>
              <w:rPr>
                <w:rFonts w:ascii="仿宋" w:hAnsi="仿宋" w:eastAsia="仿宋"/>
                <w:sz w:val="20"/>
                <w:szCs w:val="18"/>
              </w:rPr>
            </w:pPr>
            <w:r>
              <w:rPr>
                <w:rFonts w:hint="eastAsia" w:ascii="仿宋" w:hAnsi="仿宋" w:eastAsia="仿宋"/>
                <w:sz w:val="20"/>
                <w:szCs w:val="18"/>
              </w:rPr>
              <w:t>汕尾职业技术学院</w:t>
            </w:r>
            <w:r>
              <w:rPr>
                <w:rFonts w:hint="eastAsia" w:ascii="仿宋" w:hAnsi="仿宋" w:eastAsia="仿宋" w:cs="Times New Roman"/>
                <w:sz w:val="20"/>
                <w:szCs w:val="18"/>
              </w:rPr>
              <w:t>疫情防控期间校园测温设备采购</w:t>
            </w:r>
            <w:r>
              <w:rPr>
                <w:rFonts w:hint="eastAsia" w:ascii="仿宋" w:hAnsi="仿宋" w:eastAsia="仿宋"/>
                <w:sz w:val="20"/>
                <w:szCs w:val="18"/>
              </w:rPr>
              <w:t>项目</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20"/>
                <w:szCs w:val="18"/>
              </w:rPr>
              <w:t>244150.00</w:t>
            </w:r>
            <w:r>
              <w:rPr>
                <w:rFonts w:hint="eastAsia" w:ascii="宋体" w:hAnsi="宋体" w:eastAsia="宋体" w:cs="宋体"/>
                <w:sz w:val="20"/>
                <w:szCs w:val="18"/>
              </w:rPr>
              <w:t xml:space="preserve">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七、评审日期：2020年5月9日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评审委员会（磋商小组）：</w:t>
      </w:r>
    </w:p>
    <w:p>
      <w:pPr>
        <w:spacing w:line="220" w:lineRule="atLeast"/>
        <w:ind w:firstLine="560" w:firstLineChars="200"/>
        <w:jc w:val="both"/>
        <w:rPr>
          <w:rFonts w:hint="eastAsia" w:ascii="仿宋" w:hAnsi="仿宋" w:eastAsia="仿宋"/>
          <w:sz w:val="28"/>
          <w:szCs w:val="28"/>
        </w:rPr>
      </w:pPr>
      <w:r>
        <w:rPr>
          <w:rFonts w:hint="eastAsia" w:ascii="仿宋" w:hAnsi="仿宋" w:eastAsia="仿宋"/>
          <w:sz w:val="28"/>
          <w:szCs w:val="28"/>
        </w:rPr>
        <w:t xml:space="preserve">负责人：盛海云      成员：左枢、彭文强 </w:t>
      </w:r>
    </w:p>
    <w:p>
      <w:pPr>
        <w:spacing w:line="220" w:lineRule="atLeast"/>
        <w:ind w:firstLine="560" w:firstLineChars="200"/>
        <w:jc w:val="both"/>
        <w:rPr>
          <w:rFonts w:ascii="仿宋" w:hAnsi="仿宋" w:eastAsia="仿宋"/>
          <w:sz w:val="28"/>
          <w:szCs w:val="28"/>
        </w:rPr>
      </w:pPr>
      <w:bookmarkStart w:id="0" w:name="_GoBack"/>
      <w:bookmarkEnd w:id="0"/>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1、前来领取磋商文件的供应商分别是：海丰县福达现代办公设备有限公司、汕尾市天宇科技有限公司、广东肯特科技工程有限公司。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2、前来投标的供应商分别是：海丰县福达现代办公设备有限公司、汕尾市天宇科技有限公司、广东肯特科技工程有限公司。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3、有效竞争性磋商的供应商：上述三家投标的供应商经专家审查均符合竞争性磋商文件要求为有效竞争性磋商供应商。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4、竞争性磋商方法和标准：竞争性磋商小组根据竞争性磋商文件的规定，采用综合评分法进行评标。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7"/>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1478"/>
        <w:gridCol w:w="1648"/>
        <w:gridCol w:w="1548"/>
        <w:gridCol w:w="1564"/>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8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技术商务得分比例（70%）</w:t>
            </w:r>
          </w:p>
        </w:tc>
        <w:tc>
          <w:tcPr>
            <w:tcW w:w="899" w:type="pct"/>
            <w:vAlign w:val="center"/>
          </w:tcPr>
          <w:p>
            <w:pPr>
              <w:pStyle w:val="5"/>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96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海丰县福达现代办公设备有限公司</w:t>
            </w:r>
          </w:p>
        </w:tc>
        <w:tc>
          <w:tcPr>
            <w:tcW w:w="8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63</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93</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6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汕尾市天宇科技有限公司</w:t>
            </w:r>
          </w:p>
        </w:tc>
        <w:tc>
          <w:tcPr>
            <w:tcW w:w="8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54</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29.90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83.90</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6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广东肯特科技工程有限公司</w:t>
            </w:r>
          </w:p>
        </w:tc>
        <w:tc>
          <w:tcPr>
            <w:tcW w:w="85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52</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29.91</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81.91</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发布时间：2020年5月9日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6742"/>
    <w:rsid w:val="000579DD"/>
    <w:rsid w:val="00057C23"/>
    <w:rsid w:val="000B5962"/>
    <w:rsid w:val="000B663B"/>
    <w:rsid w:val="00114465"/>
    <w:rsid w:val="001F4BF4"/>
    <w:rsid w:val="00285AED"/>
    <w:rsid w:val="002A767D"/>
    <w:rsid w:val="00323B43"/>
    <w:rsid w:val="00341882"/>
    <w:rsid w:val="003A15C8"/>
    <w:rsid w:val="003B4A9D"/>
    <w:rsid w:val="003D37D8"/>
    <w:rsid w:val="00423D8A"/>
    <w:rsid w:val="00426133"/>
    <w:rsid w:val="004358AB"/>
    <w:rsid w:val="004820F7"/>
    <w:rsid w:val="004872B8"/>
    <w:rsid w:val="004A2B00"/>
    <w:rsid w:val="004D4AB5"/>
    <w:rsid w:val="004E3A34"/>
    <w:rsid w:val="00511441"/>
    <w:rsid w:val="00573D64"/>
    <w:rsid w:val="005A7F65"/>
    <w:rsid w:val="005C4A26"/>
    <w:rsid w:val="005D493F"/>
    <w:rsid w:val="00600A38"/>
    <w:rsid w:val="00604BCB"/>
    <w:rsid w:val="00631E07"/>
    <w:rsid w:val="00651675"/>
    <w:rsid w:val="00666675"/>
    <w:rsid w:val="00674863"/>
    <w:rsid w:val="00684E2C"/>
    <w:rsid w:val="006E1B24"/>
    <w:rsid w:val="0071101D"/>
    <w:rsid w:val="007175F6"/>
    <w:rsid w:val="00717AFC"/>
    <w:rsid w:val="007229E9"/>
    <w:rsid w:val="00723C8D"/>
    <w:rsid w:val="00743DD3"/>
    <w:rsid w:val="007445AA"/>
    <w:rsid w:val="007B598F"/>
    <w:rsid w:val="007D7B25"/>
    <w:rsid w:val="00807F3F"/>
    <w:rsid w:val="008B7726"/>
    <w:rsid w:val="008F111F"/>
    <w:rsid w:val="00915C08"/>
    <w:rsid w:val="00927C80"/>
    <w:rsid w:val="00945292"/>
    <w:rsid w:val="009F5EEA"/>
    <w:rsid w:val="00A3563B"/>
    <w:rsid w:val="00A8327E"/>
    <w:rsid w:val="00A86F6B"/>
    <w:rsid w:val="00AA0E01"/>
    <w:rsid w:val="00AA55FA"/>
    <w:rsid w:val="00AC6D55"/>
    <w:rsid w:val="00AD39F9"/>
    <w:rsid w:val="00AE64AA"/>
    <w:rsid w:val="00B1293B"/>
    <w:rsid w:val="00C278F1"/>
    <w:rsid w:val="00C366E2"/>
    <w:rsid w:val="00C75E36"/>
    <w:rsid w:val="00CA32EB"/>
    <w:rsid w:val="00CD1FB2"/>
    <w:rsid w:val="00CE6592"/>
    <w:rsid w:val="00D27ED4"/>
    <w:rsid w:val="00D31D50"/>
    <w:rsid w:val="00D42E00"/>
    <w:rsid w:val="00D55ED9"/>
    <w:rsid w:val="00D77374"/>
    <w:rsid w:val="00E05D09"/>
    <w:rsid w:val="00E1090B"/>
    <w:rsid w:val="00E11C77"/>
    <w:rsid w:val="00E512A8"/>
    <w:rsid w:val="00E64913"/>
    <w:rsid w:val="00FC0691"/>
    <w:rsid w:val="00FD3670"/>
    <w:rsid w:val="00FD3B07"/>
    <w:rsid w:val="00FE2404"/>
    <w:rsid w:val="00FE387E"/>
    <w:rsid w:val="69640ABC"/>
    <w:rsid w:val="6DB57188"/>
    <w:rsid w:val="7F9A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rFonts w:ascii="Tahoma" w:hAnsi="Tahoma"/>
      <w:sz w:val="18"/>
      <w:szCs w:val="18"/>
    </w:rPr>
  </w:style>
  <w:style w:type="character" w:customStyle="1" w:styleId="10">
    <w:name w:val="页脚 Char"/>
    <w:basedOn w:val="8"/>
    <w:link w:val="3"/>
    <w:qFormat/>
    <w:uiPriority w:val="99"/>
    <w:rPr>
      <w:rFonts w:ascii="Tahoma" w:hAnsi="Tahoma"/>
      <w:sz w:val="18"/>
      <w:szCs w:val="18"/>
    </w:rPr>
  </w:style>
  <w:style w:type="character" w:customStyle="1" w:styleId="11">
    <w:name w:val="批注框文本 Char"/>
    <w:basedOn w:val="8"/>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E1FB5-A10D-450D-9FA1-1595CAEC71D7}">
  <ds:schemaRefs/>
</ds:datastoreItem>
</file>

<file path=docProps/app.xml><?xml version="1.0" encoding="utf-8"?>
<Properties xmlns="http://schemas.openxmlformats.org/officeDocument/2006/extended-properties" xmlns:vt="http://schemas.openxmlformats.org/officeDocument/2006/docPropsVTypes">
  <Template>Normal</Template>
  <Pages>2</Pages>
  <Words>165</Words>
  <Characters>944</Characters>
  <Lines>7</Lines>
  <Paragraphs>2</Paragraphs>
  <TotalTime>732</TotalTime>
  <ScaleCrop>false</ScaleCrop>
  <LinksUpToDate>false</LinksUpToDate>
  <CharactersWithSpaces>1107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cp:lastPrinted>2020-05-09T00:55:00Z</cp:lastPrinted>
  <dcterms:modified xsi:type="dcterms:W3CDTF">2020-05-09T09:19:42Z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