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汕尾职业技术学院“东校门及东广场改造工程增加整修挡土墙、重建防护墙及新建台阶（东校门及东广场改造增楼梯变更）”项目成交公告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尾职业技术学院于2020年7月27日就“东校门及东广场改造工程增加整修挡土墙、重建防护墙及新建台阶（东校门及东广场改造增楼梯变更）”项目（采购项目编号：SWZYCG2020-26）采用竞争性磋商采购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一、采购项目编号：</w:t>
      </w:r>
      <w:r>
        <w:rPr>
          <w:rFonts w:hint="eastAsia" w:ascii="仿宋" w:hAnsi="仿宋" w:eastAsia="仿宋" w:cs="Times New Roman"/>
          <w:sz w:val="28"/>
          <w:szCs w:val="28"/>
        </w:rPr>
        <w:t>SWZYCG2020-26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二、采购项目名称：东校门及东广场改造工程增加整修挡土墙、重建防护墙及新建台阶（东校门及东广场改造增楼梯变更）项目</w:t>
      </w:r>
    </w:p>
    <w:p>
      <w:pPr>
        <w:spacing w:line="220" w:lineRule="atLeast"/>
        <w:ind w:firstLine="560" w:firstLineChars="200"/>
        <w:jc w:val="both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28"/>
          <w:szCs w:val="28"/>
        </w:rPr>
        <w:t>三、采购项目预算金额：人民币208525</w:t>
      </w:r>
      <w:r>
        <w:rPr>
          <w:rFonts w:ascii="仿宋" w:hAnsi="仿宋" w:eastAsia="仿宋"/>
          <w:sz w:val="28"/>
          <w:szCs w:val="28"/>
        </w:rPr>
        <w:t>.0</w:t>
      </w:r>
      <w:r>
        <w:rPr>
          <w:rFonts w:hint="eastAsia" w:ascii="仿宋" w:hAnsi="仿宋" w:eastAsia="仿宋"/>
          <w:sz w:val="28"/>
          <w:szCs w:val="28"/>
        </w:rPr>
        <w:t>1元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五、成交供应商</w:t>
      </w:r>
    </w:p>
    <w:p>
      <w:pPr>
        <w:spacing w:line="220" w:lineRule="atLeast"/>
        <w:ind w:left="981" w:leftChars="255" w:hanging="420" w:hangingChars="150"/>
        <w:jc w:val="both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成交供应商名称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汕尾市统宇建设工程有限公司 </w:t>
      </w:r>
      <w:r>
        <w:rPr>
          <w:rFonts w:hint="eastAsia" w:ascii="仿宋" w:hAnsi="仿宋" w:eastAsia="仿宋"/>
          <w:sz w:val="28"/>
          <w:szCs w:val="28"/>
        </w:rPr>
        <w:t>法人代表</w:t>
      </w:r>
      <w:r>
        <w:rPr>
          <w:rFonts w:hint="eastAsia" w:ascii="仿宋" w:hAnsi="仿宋" w:eastAsia="仿宋"/>
          <w:sz w:val="28"/>
          <w:szCs w:val="28"/>
          <w:u w:val="single"/>
        </w:rPr>
        <w:t>曾冠峰</w:t>
      </w: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汕尾市城区林埠村二街九巷合兴楼1401 </w:t>
      </w:r>
      <w:r>
        <w:rPr>
          <w:rFonts w:hint="eastAsia" w:ascii="仿宋" w:hAnsi="仿宋" w:eastAsia="仿宋"/>
          <w:sz w:val="28"/>
          <w:szCs w:val="28"/>
        </w:rPr>
        <w:t>(成交金额为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￥207700.00</w:t>
      </w:r>
      <w:r>
        <w:rPr>
          <w:rFonts w:hint="eastAsia" w:ascii="仿宋" w:hAnsi="仿宋" w:eastAsia="仿宋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六、报价明细</w:t>
      </w:r>
    </w:p>
    <w:tbl>
      <w:tblPr>
        <w:tblStyle w:val="7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242"/>
        <w:gridCol w:w="1242"/>
        <w:gridCol w:w="1371"/>
        <w:gridCol w:w="1694"/>
        <w:gridCol w:w="11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1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东校门及东广场改造工程增加整修挡土墙、重建防护墙及新建台阶（东校门及东广场改造增楼梯变更）项目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18"/>
              </w:rPr>
              <w:t xml:space="preserve">￥207700.00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七、评审日期：2020年7月27日 评审地点：汕尾职业技术学院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负责人：曾德方  成员：张永强  陈树添      </w:t>
      </w: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1、前来报名的供应商分别是：汕尾市统宇建设工程有限公司、湛江市兴建水电工程有限公司、梅州市威华水利水电建设工程有限公司。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2、前来投标的供应商分别是：汕尾市统宇建设工程有限公司、湛江市兴建水电工程有限公司、梅州市威华水利水电建设工程有限公司。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3、有效竞争性磋商的供应商：汕尾市统宇建设工程有限公司、湛江市兴建水电工程有限公司、梅州市威华水利水电建设工程有限公司。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5、磋商结果：</w:t>
      </w:r>
    </w:p>
    <w:tbl>
      <w:tblPr>
        <w:tblStyle w:val="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23"/>
        <w:gridCol w:w="1648"/>
        <w:gridCol w:w="154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投标人名称</w:t>
            </w:r>
          </w:p>
        </w:tc>
        <w:tc>
          <w:tcPr>
            <w:tcW w:w="16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是否通过资格性符合性审查</w:t>
            </w:r>
          </w:p>
        </w:tc>
        <w:tc>
          <w:tcPr>
            <w:tcW w:w="16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技术商务得分比例（80%）</w:t>
            </w:r>
          </w:p>
        </w:tc>
        <w:tc>
          <w:tcPr>
            <w:tcW w:w="1548" w:type="dxa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" w:hAnsi="仿宋" w:eastAsia="仿宋" w:cstheme="minorBidi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sz w:val="21"/>
                <w:szCs w:val="21"/>
              </w:rPr>
              <w:t>价格得分比例（20%）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after="0" w:line="220" w:lineRule="atLeas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汕尾市统宇建设工程有限公司</w:t>
            </w:r>
          </w:p>
        </w:tc>
        <w:tc>
          <w:tcPr>
            <w:tcW w:w="16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6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59.67</w:t>
            </w: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79.67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梅州市威华水利水电建设工程有限公司</w:t>
            </w:r>
          </w:p>
        </w:tc>
        <w:tc>
          <w:tcPr>
            <w:tcW w:w="16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6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39.00</w:t>
            </w: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19.98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58.98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湛江市兴建水电工程有限公司</w:t>
            </w:r>
          </w:p>
        </w:tc>
        <w:tc>
          <w:tcPr>
            <w:tcW w:w="162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64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28.33</w:t>
            </w: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19.99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48.32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</w:tr>
    </w:tbl>
    <w:p>
      <w:pPr>
        <w:spacing w:after="0" w:line="220" w:lineRule="atLeast"/>
        <w:jc w:val="center"/>
        <w:rPr>
          <w:rFonts w:ascii="仿宋" w:hAnsi="仿宋" w:eastAsia="仿宋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采购人：汕尾职业技术学院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>
      <w:pPr>
        <w:ind w:right="280" w:firstLine="140" w:firstLineChars="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发布时间：2020年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DD"/>
    <w:rsid w:val="00057C23"/>
    <w:rsid w:val="000B5962"/>
    <w:rsid w:val="000B663B"/>
    <w:rsid w:val="00114465"/>
    <w:rsid w:val="00126C79"/>
    <w:rsid w:val="001F4BF4"/>
    <w:rsid w:val="00285AED"/>
    <w:rsid w:val="002A767D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58AB"/>
    <w:rsid w:val="004820F7"/>
    <w:rsid w:val="004872B8"/>
    <w:rsid w:val="0049708C"/>
    <w:rsid w:val="004A2B00"/>
    <w:rsid w:val="004D4AB5"/>
    <w:rsid w:val="004E3A34"/>
    <w:rsid w:val="004E79B8"/>
    <w:rsid w:val="00511441"/>
    <w:rsid w:val="0051180D"/>
    <w:rsid w:val="00573D64"/>
    <w:rsid w:val="005A7F65"/>
    <w:rsid w:val="005C4A26"/>
    <w:rsid w:val="005D493F"/>
    <w:rsid w:val="00600A38"/>
    <w:rsid w:val="00604BCB"/>
    <w:rsid w:val="00621508"/>
    <w:rsid w:val="00631E07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29E9"/>
    <w:rsid w:val="00723C8D"/>
    <w:rsid w:val="00740143"/>
    <w:rsid w:val="00743DD3"/>
    <w:rsid w:val="007445AA"/>
    <w:rsid w:val="007B598F"/>
    <w:rsid w:val="007C7EBA"/>
    <w:rsid w:val="007D7B25"/>
    <w:rsid w:val="00807F3F"/>
    <w:rsid w:val="008B7726"/>
    <w:rsid w:val="008F111F"/>
    <w:rsid w:val="009060B6"/>
    <w:rsid w:val="00915C08"/>
    <w:rsid w:val="009249FF"/>
    <w:rsid w:val="00927C80"/>
    <w:rsid w:val="00945292"/>
    <w:rsid w:val="00992294"/>
    <w:rsid w:val="009F5EEA"/>
    <w:rsid w:val="00A14835"/>
    <w:rsid w:val="00A3563B"/>
    <w:rsid w:val="00A43133"/>
    <w:rsid w:val="00A569BC"/>
    <w:rsid w:val="00A8327E"/>
    <w:rsid w:val="00A86F6B"/>
    <w:rsid w:val="00AA0E01"/>
    <w:rsid w:val="00AA55FA"/>
    <w:rsid w:val="00AC6D55"/>
    <w:rsid w:val="00AD39F9"/>
    <w:rsid w:val="00AE64AA"/>
    <w:rsid w:val="00B1293B"/>
    <w:rsid w:val="00BB1C11"/>
    <w:rsid w:val="00C278F1"/>
    <w:rsid w:val="00C366E2"/>
    <w:rsid w:val="00C75E36"/>
    <w:rsid w:val="00CA32EB"/>
    <w:rsid w:val="00CD1FB2"/>
    <w:rsid w:val="00CE6592"/>
    <w:rsid w:val="00D1315D"/>
    <w:rsid w:val="00D134C9"/>
    <w:rsid w:val="00D27ED4"/>
    <w:rsid w:val="00D31D50"/>
    <w:rsid w:val="00D42E00"/>
    <w:rsid w:val="00D441A7"/>
    <w:rsid w:val="00D55ED9"/>
    <w:rsid w:val="00D77374"/>
    <w:rsid w:val="00E05D09"/>
    <w:rsid w:val="00E1090B"/>
    <w:rsid w:val="00E11C77"/>
    <w:rsid w:val="00E26325"/>
    <w:rsid w:val="00E512A8"/>
    <w:rsid w:val="00E64913"/>
    <w:rsid w:val="00E7578A"/>
    <w:rsid w:val="00F91D17"/>
    <w:rsid w:val="00FC0691"/>
    <w:rsid w:val="00FD3670"/>
    <w:rsid w:val="00FD3B07"/>
    <w:rsid w:val="00FE2404"/>
    <w:rsid w:val="00FE387E"/>
    <w:rsid w:val="2A504671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920D9-C2E1-42B8-9306-BA2088CD88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2020-08-01T08:44:48Z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