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汕尾职业技术学院扩建项目（新校区）使用林地可行性研究报告编制服务中介机构项目成交公告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汕尾职业技术学院于2020年7月6日就扩建项目（新校区）使用林地可行性研究报告编制服务中介机构项目（采购项目编号：SWZYCG2020-23）采用竞争性磋商采购进行采购。现就本次采购的中标（成交）结果公告如下：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SWZYCG2020-23</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扩建项目（新校区）使用林地可行性研究报告编制服务中介机构</w:t>
      </w:r>
      <w:r>
        <w:rPr>
          <w:rFonts w:hint="eastAsia" w:ascii="仿宋" w:hAnsi="仿宋" w:eastAsia="仿宋"/>
          <w:sz w:val="28"/>
          <w:szCs w:val="28"/>
        </w:rPr>
        <w:t>项目</w:t>
      </w:r>
    </w:p>
    <w:p>
      <w:pPr>
        <w:spacing w:line="220" w:lineRule="atLeast"/>
        <w:ind w:firstLine="560" w:firstLineChars="200"/>
        <w:jc w:val="both"/>
        <w:rPr>
          <w:rFonts w:ascii="宋体" w:hAnsi="宋体"/>
          <w:sz w:val="24"/>
        </w:rPr>
      </w:pPr>
      <w:r>
        <w:rPr>
          <w:rFonts w:hint="eastAsia" w:ascii="仿宋" w:hAnsi="仿宋" w:eastAsia="仿宋"/>
          <w:sz w:val="28"/>
          <w:szCs w:val="28"/>
        </w:rPr>
        <w:t>三、采购项目预算金额：人民币</w:t>
      </w:r>
      <w:r>
        <w:rPr>
          <w:rFonts w:ascii="仿宋" w:hAnsi="仿宋" w:eastAsia="仿宋"/>
          <w:sz w:val="28"/>
          <w:szCs w:val="28"/>
        </w:rPr>
        <w:t>125000.00</w:t>
      </w:r>
      <w:r>
        <w:rPr>
          <w:rFonts w:hint="eastAsia" w:ascii="仿宋" w:hAnsi="仿宋" w:eastAsia="仿宋"/>
          <w:sz w:val="28"/>
          <w:szCs w:val="28"/>
        </w:rPr>
        <w:t>元整</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left="981" w:leftChars="255" w:hanging="420" w:hangingChars="150"/>
        <w:jc w:val="both"/>
        <w:rPr>
          <w:rFonts w:ascii="仿宋" w:hAnsi="仿宋" w:eastAsia="仿宋"/>
          <w:sz w:val="28"/>
          <w:szCs w:val="28"/>
          <w:u w:val="single"/>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广东森霖造绿有限公司  </w:t>
      </w:r>
      <w:r>
        <w:rPr>
          <w:rFonts w:hint="eastAsia" w:ascii="仿宋" w:hAnsi="仿宋" w:eastAsia="仿宋"/>
          <w:sz w:val="28"/>
          <w:szCs w:val="28"/>
        </w:rPr>
        <w:t>法人代表</w:t>
      </w:r>
      <w:r>
        <w:rPr>
          <w:rFonts w:hint="eastAsia" w:ascii="仿宋" w:hAnsi="仿宋" w:eastAsia="仿宋"/>
          <w:sz w:val="28"/>
          <w:szCs w:val="28"/>
          <w:u w:val="single"/>
        </w:rPr>
        <w:t xml:space="preserve"> 陈土荣    </w:t>
      </w:r>
      <w:r>
        <w:rPr>
          <w:rFonts w:hint="eastAsia" w:ascii="仿宋" w:hAnsi="仿宋" w:eastAsia="仿宋"/>
          <w:sz w:val="28"/>
          <w:szCs w:val="28"/>
        </w:rPr>
        <w:t>地址</w:t>
      </w:r>
      <w:r>
        <w:rPr>
          <w:rFonts w:hint="eastAsia" w:ascii="仿宋" w:hAnsi="仿宋" w:eastAsia="仿宋"/>
          <w:sz w:val="28"/>
          <w:szCs w:val="28"/>
          <w:u w:val="single"/>
        </w:rPr>
        <w:t xml:space="preserve">   广州市天河区柯木塱背坪拾排东街号208室     </w:t>
      </w:r>
      <w:r>
        <w:rPr>
          <w:rFonts w:hint="eastAsia" w:ascii="仿宋" w:hAnsi="仿宋" w:eastAsia="仿宋"/>
          <w:sz w:val="28"/>
          <w:szCs w:val="28"/>
        </w:rPr>
        <w:t>(成交金额为</w:t>
      </w:r>
      <w:r>
        <w:rPr>
          <w:rFonts w:hint="eastAsia" w:ascii="仿宋" w:hAnsi="仿宋" w:eastAsia="仿宋"/>
          <w:sz w:val="28"/>
          <w:szCs w:val="28"/>
          <w:u w:val="single"/>
        </w:rPr>
        <w:t xml:space="preserve">  ￥122000.00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7"/>
        <w:tblW w:w="8322"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58"/>
        <w:gridCol w:w="1242"/>
        <w:gridCol w:w="1242"/>
        <w:gridCol w:w="1371"/>
        <w:gridCol w:w="1694"/>
        <w:gridCol w:w="111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658"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1242"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1242" w:type="dxa"/>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1371"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69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111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658" w:type="dxa"/>
            <w:tcBorders>
              <w:top w:val="outset" w:color="auto" w:sz="6" w:space="0"/>
              <w:left w:val="outset" w:color="auto" w:sz="6" w:space="0"/>
              <w:bottom w:val="outset" w:color="auto" w:sz="6" w:space="0"/>
              <w:right w:val="outset" w:color="auto" w:sz="6" w:space="0"/>
            </w:tcBorders>
            <w:vAlign w:val="center"/>
          </w:tcPr>
          <w:p>
            <w:pPr>
              <w:spacing w:line="220" w:lineRule="atLeast"/>
              <w:jc w:val="both"/>
              <w:rPr>
                <w:rFonts w:ascii="仿宋" w:hAnsi="仿宋" w:eastAsia="仿宋"/>
                <w:sz w:val="20"/>
                <w:szCs w:val="18"/>
              </w:rPr>
            </w:pPr>
            <w:r>
              <w:rPr>
                <w:rFonts w:hint="eastAsia" w:ascii="仿宋" w:hAnsi="仿宋" w:eastAsia="仿宋"/>
                <w:sz w:val="20"/>
                <w:szCs w:val="18"/>
              </w:rPr>
              <w:t>汕尾职业技术学院</w:t>
            </w:r>
            <w:r>
              <w:rPr>
                <w:rFonts w:hint="eastAsia" w:ascii="仿宋" w:hAnsi="仿宋" w:eastAsia="仿宋" w:cs="Times New Roman"/>
                <w:sz w:val="20"/>
                <w:szCs w:val="18"/>
              </w:rPr>
              <w:t>扩建项目（新校区）使用林地可行性研究报告编制服务中介机构</w:t>
            </w:r>
          </w:p>
        </w:tc>
        <w:tc>
          <w:tcPr>
            <w:tcW w:w="1242"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242"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371"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69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115" w:type="dxa"/>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18"/>
                <w:szCs w:val="18"/>
              </w:rPr>
            </w:pPr>
            <w:r>
              <w:rPr>
                <w:rFonts w:hint="eastAsia" w:ascii="宋体" w:hAnsi="宋体" w:eastAsia="宋体" w:cs="宋体"/>
                <w:sz w:val="20"/>
                <w:szCs w:val="18"/>
              </w:rPr>
              <w:t xml:space="preserve">￥122000.00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8" w:hRule="atLeast"/>
          <w:jc w:val="center"/>
        </w:trPr>
        <w:tc>
          <w:tcPr>
            <w:tcW w:w="1658"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42"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42"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371"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69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11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七、评审日期：2020年7月6日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评审委员会（磋商小组）：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负责人：李存       成员：盛大勇  王卫国      </w:t>
      </w:r>
      <w:r>
        <w:rPr>
          <w:rFonts w:ascii="仿宋" w:hAnsi="仿宋" w:eastAsia="仿宋"/>
          <w:sz w:val="28"/>
          <w:szCs w:val="28"/>
        </w:rPr>
        <w:br w:type="page"/>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1、前来报名的供应商分别是：广州市林业科学研究所有限公司、广东森霖造绿有限公司、广州沛森园林景观设计有限公司。</w:t>
      </w:r>
      <w:r>
        <w:rPr>
          <w:rFonts w:ascii="仿宋" w:hAnsi="仿宋" w:eastAsia="仿宋"/>
          <w:sz w:val="28"/>
          <w:szCs w:val="28"/>
        </w:rPr>
        <w:t xml:space="preserve">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2、前来投标的供应商分别是：广州市林业科学研究所有限公司、广东森霖造绿有限公司、广州沛森园林景观设计有限公司。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3、有效竞争性磋商的供应商：上述三家投标的供应商经专家审查均符合竞争性磋商文件要求为有效竞争性磋商供应商。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4、竞争性磋商方法和标准：竞争性磋商小组根据竞争性磋商文件的规定，采用综合评分法进行评标。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8"/>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8"/>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1548" w:type="dxa"/>
            <w:vAlign w:val="center"/>
          </w:tcPr>
          <w:p>
            <w:pPr>
              <w:pStyle w:val="5"/>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广东森霖造绿有限公司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ascii="仿宋" w:hAnsi="仿宋" w:eastAsia="仿宋"/>
                <w:sz w:val="21"/>
                <w:szCs w:val="21"/>
              </w:rPr>
              <w:t>64.33</w:t>
            </w:r>
          </w:p>
        </w:tc>
        <w:tc>
          <w:tcPr>
            <w:tcW w:w="1548" w:type="dxa"/>
            <w:vAlign w:val="center"/>
          </w:tcPr>
          <w:p>
            <w:pPr>
              <w:spacing w:after="0" w:line="220" w:lineRule="atLeast"/>
              <w:jc w:val="center"/>
              <w:rPr>
                <w:rFonts w:ascii="仿宋" w:hAnsi="仿宋" w:eastAsia="仿宋"/>
                <w:sz w:val="21"/>
                <w:szCs w:val="21"/>
              </w:rPr>
            </w:pPr>
            <w:r>
              <w:rPr>
                <w:rFonts w:ascii="仿宋" w:hAnsi="仿宋" w:eastAsia="仿宋"/>
                <w:sz w:val="21"/>
                <w:szCs w:val="21"/>
              </w:rPr>
              <w:t xml:space="preserve">19.34 </w:t>
            </w:r>
            <w:r>
              <w:rPr>
                <w:rFonts w:ascii="仿宋" w:hAnsi="仿宋" w:eastAsia="仿宋"/>
                <w:sz w:val="21"/>
                <w:szCs w:val="21"/>
              </w:rPr>
              <w:tab/>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83.67</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广州市林业科学研究所有限公司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ascii="仿宋" w:hAnsi="仿宋" w:eastAsia="仿宋"/>
                <w:sz w:val="21"/>
                <w:szCs w:val="21"/>
              </w:rPr>
              <w:t>44.33</w:t>
            </w:r>
          </w:p>
        </w:tc>
        <w:tc>
          <w:tcPr>
            <w:tcW w:w="1548" w:type="dxa"/>
            <w:vAlign w:val="center"/>
          </w:tcPr>
          <w:p>
            <w:pPr>
              <w:spacing w:after="0" w:line="220" w:lineRule="atLeast"/>
              <w:jc w:val="center"/>
              <w:rPr>
                <w:rFonts w:ascii="仿宋" w:hAnsi="仿宋" w:eastAsia="仿宋"/>
                <w:sz w:val="21"/>
                <w:szCs w:val="21"/>
              </w:rPr>
            </w:pPr>
            <w:r>
              <w:rPr>
                <w:rFonts w:ascii="仿宋" w:hAnsi="仿宋" w:eastAsia="仿宋"/>
                <w:sz w:val="21"/>
                <w:szCs w:val="21"/>
              </w:rPr>
              <w:t>19.67</w:t>
            </w:r>
            <w:r>
              <w:rPr>
                <w:rFonts w:ascii="仿宋" w:hAnsi="仿宋" w:eastAsia="仿宋"/>
                <w:sz w:val="21"/>
                <w:szCs w:val="21"/>
              </w:rPr>
              <w:tab/>
            </w:r>
          </w:p>
        </w:tc>
        <w:tc>
          <w:tcPr>
            <w:tcW w:w="1564" w:type="dxa"/>
            <w:vAlign w:val="center"/>
          </w:tcPr>
          <w:p>
            <w:pPr>
              <w:spacing w:after="0" w:line="220" w:lineRule="atLeast"/>
              <w:jc w:val="center"/>
              <w:rPr>
                <w:rFonts w:ascii="仿宋" w:hAnsi="仿宋" w:eastAsia="仿宋"/>
                <w:sz w:val="21"/>
                <w:szCs w:val="21"/>
              </w:rPr>
            </w:pPr>
            <w:r>
              <w:rPr>
                <w:rFonts w:ascii="仿宋" w:hAnsi="仿宋" w:eastAsia="仿宋"/>
                <w:sz w:val="21"/>
                <w:szCs w:val="21"/>
              </w:rPr>
              <w:t>64</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广州沛森园林景观设计有限公司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宋体" w:hAnsi="宋体" w:eastAsia="宋体" w:cs="宋体"/>
                <w:sz w:val="18"/>
                <w:szCs w:val="18"/>
              </w:rPr>
            </w:pPr>
            <w:r>
              <w:rPr>
                <w:rFonts w:hint="eastAsia" w:ascii="仿宋" w:hAnsi="仿宋" w:eastAsia="仿宋"/>
                <w:sz w:val="21"/>
                <w:szCs w:val="21"/>
              </w:rPr>
              <w:t>36.33</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20</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 xml:space="preserve">56.33 </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发布时间：2020年7月</w:t>
      </w:r>
      <w:r>
        <w:rPr>
          <w:rFonts w:hint="eastAsia" w:ascii="仿宋" w:hAnsi="仿宋" w:eastAsia="仿宋"/>
          <w:sz w:val="28"/>
          <w:szCs w:val="28"/>
          <w:lang w:val="en-US" w:eastAsia="zh-CN"/>
        </w:rPr>
        <w:t>6</w:t>
      </w:r>
      <w:bookmarkStart w:id="0" w:name="_GoBack"/>
      <w:bookmarkEnd w:id="0"/>
      <w:r>
        <w:rPr>
          <w:rFonts w:hint="eastAsia" w:ascii="仿宋" w:hAnsi="仿宋" w:eastAsia="仿宋"/>
          <w:sz w:val="28"/>
          <w:szCs w:val="28"/>
        </w:rPr>
        <w:t>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3B82"/>
    <w:rsid w:val="000579DD"/>
    <w:rsid w:val="00057C23"/>
    <w:rsid w:val="000B5962"/>
    <w:rsid w:val="000B663B"/>
    <w:rsid w:val="00114465"/>
    <w:rsid w:val="00157642"/>
    <w:rsid w:val="001F4BF4"/>
    <w:rsid w:val="00202513"/>
    <w:rsid w:val="00285AED"/>
    <w:rsid w:val="002A767D"/>
    <w:rsid w:val="00323B43"/>
    <w:rsid w:val="00341882"/>
    <w:rsid w:val="0034694C"/>
    <w:rsid w:val="0035473E"/>
    <w:rsid w:val="00361495"/>
    <w:rsid w:val="003708CC"/>
    <w:rsid w:val="00387DAB"/>
    <w:rsid w:val="003A15C8"/>
    <w:rsid w:val="003B4A9D"/>
    <w:rsid w:val="003C6683"/>
    <w:rsid w:val="003D37D8"/>
    <w:rsid w:val="00411D0F"/>
    <w:rsid w:val="00423D8A"/>
    <w:rsid w:val="00426133"/>
    <w:rsid w:val="004358AB"/>
    <w:rsid w:val="00454F2A"/>
    <w:rsid w:val="004820F7"/>
    <w:rsid w:val="004872B8"/>
    <w:rsid w:val="004952EE"/>
    <w:rsid w:val="0049708C"/>
    <w:rsid w:val="004A2B00"/>
    <w:rsid w:val="004A7DE4"/>
    <w:rsid w:val="004D4AB5"/>
    <w:rsid w:val="004E3A34"/>
    <w:rsid w:val="00511441"/>
    <w:rsid w:val="00550D44"/>
    <w:rsid w:val="00573D64"/>
    <w:rsid w:val="005A7F65"/>
    <w:rsid w:val="005C4A26"/>
    <w:rsid w:val="005D493F"/>
    <w:rsid w:val="00600A38"/>
    <w:rsid w:val="00604BCB"/>
    <w:rsid w:val="00621508"/>
    <w:rsid w:val="00631E07"/>
    <w:rsid w:val="006419A7"/>
    <w:rsid w:val="00651675"/>
    <w:rsid w:val="00666675"/>
    <w:rsid w:val="00674863"/>
    <w:rsid w:val="00684E2C"/>
    <w:rsid w:val="00693F5B"/>
    <w:rsid w:val="006E1B24"/>
    <w:rsid w:val="0071101D"/>
    <w:rsid w:val="007175F6"/>
    <w:rsid w:val="00717AFC"/>
    <w:rsid w:val="007229E9"/>
    <w:rsid w:val="00723C8D"/>
    <w:rsid w:val="00743DD3"/>
    <w:rsid w:val="007445AA"/>
    <w:rsid w:val="007B598F"/>
    <w:rsid w:val="007C7EBA"/>
    <w:rsid w:val="007D7B25"/>
    <w:rsid w:val="00807F3F"/>
    <w:rsid w:val="008B7726"/>
    <w:rsid w:val="008D7B26"/>
    <w:rsid w:val="008F111F"/>
    <w:rsid w:val="008F2F90"/>
    <w:rsid w:val="009060B6"/>
    <w:rsid w:val="00915C08"/>
    <w:rsid w:val="00927C80"/>
    <w:rsid w:val="00945292"/>
    <w:rsid w:val="009F5EEA"/>
    <w:rsid w:val="00A07F9D"/>
    <w:rsid w:val="00A14835"/>
    <w:rsid w:val="00A3563B"/>
    <w:rsid w:val="00A569BC"/>
    <w:rsid w:val="00A8327E"/>
    <w:rsid w:val="00A86F6B"/>
    <w:rsid w:val="00AA0E01"/>
    <w:rsid w:val="00AA55FA"/>
    <w:rsid w:val="00AC6D55"/>
    <w:rsid w:val="00AD39F9"/>
    <w:rsid w:val="00AE4015"/>
    <w:rsid w:val="00AE64AA"/>
    <w:rsid w:val="00B1293B"/>
    <w:rsid w:val="00C278F1"/>
    <w:rsid w:val="00C366E2"/>
    <w:rsid w:val="00C66DD8"/>
    <w:rsid w:val="00C75E36"/>
    <w:rsid w:val="00C91F96"/>
    <w:rsid w:val="00CA32EB"/>
    <w:rsid w:val="00CC02EA"/>
    <w:rsid w:val="00CD1FB2"/>
    <w:rsid w:val="00CE6592"/>
    <w:rsid w:val="00D134C9"/>
    <w:rsid w:val="00D27ED4"/>
    <w:rsid w:val="00D31D50"/>
    <w:rsid w:val="00D42E00"/>
    <w:rsid w:val="00D441A7"/>
    <w:rsid w:val="00D55ED9"/>
    <w:rsid w:val="00D70053"/>
    <w:rsid w:val="00D77374"/>
    <w:rsid w:val="00DB364E"/>
    <w:rsid w:val="00E05D09"/>
    <w:rsid w:val="00E1090B"/>
    <w:rsid w:val="00E11C77"/>
    <w:rsid w:val="00E26325"/>
    <w:rsid w:val="00E512A8"/>
    <w:rsid w:val="00E64913"/>
    <w:rsid w:val="00E7578A"/>
    <w:rsid w:val="00F91D17"/>
    <w:rsid w:val="00FC0691"/>
    <w:rsid w:val="00FD3670"/>
    <w:rsid w:val="00FD3B07"/>
    <w:rsid w:val="00FE2404"/>
    <w:rsid w:val="00FE387E"/>
    <w:rsid w:val="43F56FD4"/>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rFonts w:ascii="Tahoma" w:hAnsi="Tahoma"/>
      <w:sz w:val="18"/>
      <w:szCs w:val="18"/>
    </w:rPr>
  </w:style>
  <w:style w:type="character" w:customStyle="1" w:styleId="10">
    <w:name w:val="页脚 Char"/>
    <w:basedOn w:val="6"/>
    <w:link w:val="3"/>
    <w:qFormat/>
    <w:uiPriority w:val="99"/>
    <w:rPr>
      <w:rFonts w:ascii="Tahoma" w:hAnsi="Tahoma"/>
      <w:sz w:val="18"/>
      <w:szCs w:val="18"/>
    </w:rPr>
  </w:style>
  <w:style w:type="character" w:customStyle="1" w:styleId="11">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27C61-9010-4576-9110-87643BA68F4B}">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1003</Characters>
  <Lines>8</Lines>
  <Paragraphs>2</Paragraphs>
  <TotalTime>756</TotalTime>
  <ScaleCrop>false</ScaleCrop>
  <LinksUpToDate>false</LinksUpToDate>
  <CharactersWithSpaces>1176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cp:lastPrinted>2020-05-09T00:55:00Z</cp:lastPrinted>
  <dcterms:modified xsi:type="dcterms:W3CDTF">2020-07-07T08:45:09Z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